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4D9C" w:rsidRPr="001E4D9C" w:rsidRDefault="001E4D9C" w:rsidP="001E4D9C">
      <w:pPr>
        <w:rPr>
          <w:b/>
          <w:bCs/>
        </w:rPr>
      </w:pPr>
      <w:r w:rsidRPr="001E4D9C">
        <w:rPr>
          <w:b/>
          <w:bCs/>
        </w:rPr>
        <w:t>Smak (fizjologia)</w:t>
      </w:r>
    </w:p>
    <w:p w:rsidR="001E4D9C" w:rsidRDefault="001E4D9C" w:rsidP="001E4D9C">
      <w:pPr>
        <w:rPr>
          <w:b/>
          <w:bCs/>
        </w:rPr>
      </w:pPr>
    </w:p>
    <w:p w:rsidR="001E4D9C" w:rsidRPr="001E4D9C" w:rsidRDefault="001E4D9C" w:rsidP="001E4D9C">
      <w:r w:rsidRPr="001E4D9C">
        <w:rPr>
          <w:b/>
          <w:bCs/>
        </w:rPr>
        <w:t>Smak</w:t>
      </w:r>
      <w:r w:rsidRPr="001E4D9C">
        <w:t xml:space="preserve"> – jeden z podstawowych zmysłów dostępnych organizmom, służący do chemicznej analizy składu pokarmu. U wielu organizmów smak i węch nie są oddzielone.</w:t>
      </w:r>
    </w:p>
    <w:p w:rsidR="001E4D9C" w:rsidRPr="001E4D9C" w:rsidRDefault="001E4D9C" w:rsidP="001E4D9C">
      <w:r w:rsidRPr="001E4D9C">
        <w:t xml:space="preserve">Odczuwany </w:t>
      </w:r>
      <w:r w:rsidRPr="001E4D9C">
        <w:rPr>
          <w:i/>
          <w:iCs/>
        </w:rPr>
        <w:t>smak</w:t>
      </w:r>
      <w:r w:rsidRPr="001E4D9C">
        <w:t xml:space="preserve"> pokarmów zależy nie tylko od receptorów smakowych, ale również węchowych. Ludzie mają 5 rodzajów receptorów smakowych, odpowiadających z grubsza ważnym grupom substancji chemicznych znajdujących się w pożywieniu:</w:t>
      </w:r>
    </w:p>
    <w:p w:rsidR="001E4D9C" w:rsidRPr="001E4D9C" w:rsidRDefault="001E4D9C" w:rsidP="001E4D9C">
      <w:pPr>
        <w:numPr>
          <w:ilvl w:val="0"/>
          <w:numId w:val="1"/>
        </w:numPr>
      </w:pPr>
      <w:r w:rsidRPr="001E4D9C">
        <w:t>słodki - węglowodany, głównie cukry proste i dwucukry - największe zagęszczenie receptorów słodkiego smaku jest na koniuszku języka;</w:t>
      </w:r>
    </w:p>
    <w:p w:rsidR="001E4D9C" w:rsidRPr="001E4D9C" w:rsidRDefault="001E4D9C" w:rsidP="001E4D9C">
      <w:pPr>
        <w:numPr>
          <w:ilvl w:val="0"/>
          <w:numId w:val="1"/>
        </w:numPr>
      </w:pPr>
      <w:r w:rsidRPr="001E4D9C">
        <w:t>słony - sole sodu i potasu, a dokładnie kationy tych metali. Receptory rozrzucone są równo po całym języku;</w:t>
      </w:r>
    </w:p>
    <w:p w:rsidR="001E4D9C" w:rsidRPr="001E4D9C" w:rsidRDefault="001E4D9C" w:rsidP="001E4D9C">
      <w:pPr>
        <w:numPr>
          <w:ilvl w:val="0"/>
          <w:numId w:val="1"/>
        </w:numPr>
      </w:pPr>
      <w:r w:rsidRPr="001E4D9C">
        <w:t>kwaśny - kwasy organiczne i nieorganiczne. Najwięcej receptorów smaku kwaśnego jest na bokach języka;</w:t>
      </w:r>
    </w:p>
    <w:p w:rsidR="001E4D9C" w:rsidRPr="001E4D9C" w:rsidRDefault="001E4D9C" w:rsidP="001E4D9C">
      <w:pPr>
        <w:numPr>
          <w:ilvl w:val="0"/>
          <w:numId w:val="1"/>
        </w:numPr>
      </w:pPr>
      <w:r w:rsidRPr="001E4D9C">
        <w:t>gorzki - alkaloidy i wiele soli nieorganicznych. Najwięcej receptorów smaku gorzkiego występuje u nasady języka (tył języka);</w:t>
      </w:r>
    </w:p>
    <w:p w:rsidR="001E4D9C" w:rsidRPr="001E4D9C" w:rsidRDefault="001E4D9C" w:rsidP="001E4D9C">
      <w:pPr>
        <w:numPr>
          <w:ilvl w:val="0"/>
          <w:numId w:val="1"/>
        </w:numPr>
      </w:pPr>
      <w:proofErr w:type="spellStart"/>
      <w:r w:rsidRPr="001E4D9C">
        <w:t>umami</w:t>
      </w:r>
      <w:proofErr w:type="spellEnd"/>
      <w:r w:rsidRPr="001E4D9C">
        <w:t xml:space="preserve"> - wykrywa obecność kwasu glutaminowego, składnika większości białek, wyczuwalny np. w pomidorach.</w:t>
      </w:r>
    </w:p>
    <w:p w:rsidR="001E4D9C" w:rsidRPr="001E4D9C" w:rsidRDefault="001E4D9C" w:rsidP="001E4D9C">
      <w:r w:rsidRPr="001E4D9C">
        <w:t>Od niedawna postulowana jest też zdolność do wykrywania smaku niektórych kwasów tłuszczowych.</w:t>
      </w:r>
    </w:p>
    <w:p w:rsidR="001E4D9C" w:rsidRPr="001E4D9C" w:rsidRDefault="001E4D9C" w:rsidP="001E4D9C">
      <w:r w:rsidRPr="001E4D9C">
        <w:rPr>
          <w:b/>
          <w:bCs/>
        </w:rPr>
        <w:t>Ciekawostka</w:t>
      </w:r>
      <w:r w:rsidRPr="001E4D9C">
        <w:t>: Osoby, które podczas eksperymentów medycznych były poddawane działaniu słabego prądu elektrycznego przepływającego przez język, odczuwały smak określany jako "metaliczny". Prawdopodobnie źródłem tego odczucia był jednak nie kolejny typ receptorów smakowych, lecz sam fakt podrażnienia receptorów przez przepływający prąd elektryczny.</w:t>
      </w:r>
    </w:p>
    <w:p w:rsidR="001E4D9C" w:rsidRPr="001E4D9C" w:rsidRDefault="001E4D9C" w:rsidP="001E4D9C">
      <w:pPr>
        <w:jc w:val="center"/>
      </w:pPr>
      <w:r w:rsidRPr="001E4D9C">
        <w:rPr>
          <w:noProof/>
          <w:lang w:eastAsia="pl-PL"/>
        </w:rPr>
        <w:drawing>
          <wp:inline distT="0" distB="0" distL="0" distR="0">
            <wp:extent cx="1047750" cy="1790700"/>
            <wp:effectExtent l="0" t="0" r="0" b="0"/>
            <wp:docPr id="2" name="Obraz 2" descr="http://upload.wikimedia.org/wikipedia/commons/thumb/e/e7/Taste_buds.svg/110px-Taste_buds.svg.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commons/thumb/e/e7/Taste_buds.svg/110px-Taste_buds.svg.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0" cy="1790700"/>
                    </a:xfrm>
                    <a:prstGeom prst="rect">
                      <a:avLst/>
                    </a:prstGeom>
                    <a:noFill/>
                    <a:ln>
                      <a:noFill/>
                    </a:ln>
                  </pic:spPr>
                </pic:pic>
              </a:graphicData>
            </a:graphic>
          </wp:inline>
        </w:drawing>
      </w:r>
    </w:p>
    <w:p w:rsidR="001E4D9C" w:rsidRPr="001E4D9C" w:rsidRDefault="001E4D9C" w:rsidP="001E4D9C">
      <w:r w:rsidRPr="001E4D9C">
        <w:t>Domniemana mapa smaków. 1 - gorzki, 2 - kwaśny, 3 - słony, 4 - słodki</w:t>
      </w:r>
    </w:p>
    <w:p w:rsidR="001E4D9C" w:rsidRDefault="001E4D9C" w:rsidP="001E4D9C">
      <w:r w:rsidRPr="001E4D9C">
        <w:t>Wskutek błędnej interpretacji wyników badań przeprowadzonych pod koniec XIX wieku, przez wiele lat uważano, że różne części języka odpowiadają za czucie różnych smaków i powstała tzw. mapa rozmieszczenia kubków smakowych. W rzeczywistości wszystkie rodzaje kubków smakowych są rozmieszczone na całej powierzchni języka i każdy fragment języka może odczuwać każdy ze smaków. Zdarza się jednak, że niektóre rejony języka różnią się wrażliwością na różne bodźce smakowe.</w:t>
      </w:r>
    </w:p>
    <w:p w:rsidR="001E4D9C" w:rsidRPr="001E4D9C" w:rsidRDefault="001E4D9C" w:rsidP="001E4D9C"/>
    <w:tbl>
      <w:tblPr>
        <w:tblW w:w="669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980"/>
        <w:gridCol w:w="1710"/>
      </w:tblGrid>
      <w:tr w:rsidR="001E4D9C" w:rsidRPr="001E4D9C" w:rsidTr="001E4D9C">
        <w:trPr>
          <w:tblCellSpacing w:w="15" w:type="dxa"/>
          <w:jc w:val="center"/>
        </w:trPr>
        <w:tc>
          <w:tcPr>
            <w:tcW w:w="0" w:type="auto"/>
            <w:gridSpan w:val="2"/>
            <w:vAlign w:val="center"/>
            <w:hideMark/>
          </w:tcPr>
          <w:p w:rsidR="001E4D9C" w:rsidRPr="001E4D9C" w:rsidRDefault="001E4D9C" w:rsidP="001E4D9C">
            <w:pPr>
              <w:rPr>
                <w:b/>
                <w:bCs/>
              </w:rPr>
            </w:pPr>
            <w:r>
              <w:rPr>
                <w:b/>
                <w:bCs/>
              </w:rPr>
              <w:t>Smak człowieka w liczbach</w:t>
            </w:r>
          </w:p>
        </w:tc>
      </w:tr>
      <w:tr w:rsidR="001E4D9C" w:rsidRPr="001E4D9C" w:rsidTr="001E4D9C">
        <w:trPr>
          <w:tblCellSpacing w:w="15" w:type="dxa"/>
          <w:jc w:val="center"/>
        </w:trPr>
        <w:tc>
          <w:tcPr>
            <w:tcW w:w="4800" w:type="dxa"/>
            <w:vAlign w:val="center"/>
            <w:hideMark/>
          </w:tcPr>
          <w:p w:rsidR="001E4D9C" w:rsidRPr="001E4D9C" w:rsidRDefault="001E4D9C" w:rsidP="001E4D9C">
            <w:r w:rsidRPr="001E4D9C">
              <w:t>Liczba smaków</w:t>
            </w:r>
          </w:p>
        </w:tc>
        <w:tc>
          <w:tcPr>
            <w:tcW w:w="1620" w:type="dxa"/>
            <w:vAlign w:val="center"/>
            <w:hideMark/>
          </w:tcPr>
          <w:p w:rsidR="001E4D9C" w:rsidRPr="001E4D9C" w:rsidRDefault="001E4D9C" w:rsidP="001E4D9C">
            <w:r w:rsidRPr="001E4D9C">
              <w:t>5</w:t>
            </w:r>
          </w:p>
        </w:tc>
      </w:tr>
      <w:tr w:rsidR="001E4D9C" w:rsidRPr="001E4D9C" w:rsidTr="001E4D9C">
        <w:trPr>
          <w:tblCellSpacing w:w="15" w:type="dxa"/>
          <w:jc w:val="center"/>
        </w:trPr>
        <w:tc>
          <w:tcPr>
            <w:tcW w:w="0" w:type="auto"/>
            <w:vAlign w:val="center"/>
            <w:hideMark/>
          </w:tcPr>
          <w:p w:rsidR="001E4D9C" w:rsidRPr="001E4D9C" w:rsidRDefault="001E4D9C" w:rsidP="001E4D9C">
            <w:r w:rsidRPr="001E4D9C">
              <w:t>Liczba kubków smakowych</w:t>
            </w:r>
          </w:p>
        </w:tc>
        <w:tc>
          <w:tcPr>
            <w:tcW w:w="0" w:type="auto"/>
            <w:vAlign w:val="center"/>
            <w:hideMark/>
          </w:tcPr>
          <w:p w:rsidR="001E4D9C" w:rsidRPr="001E4D9C" w:rsidRDefault="001E4D9C" w:rsidP="001E4D9C">
            <w:r w:rsidRPr="001E4D9C">
              <w:t>~10000</w:t>
            </w:r>
          </w:p>
        </w:tc>
      </w:tr>
      <w:tr w:rsidR="001E4D9C" w:rsidRPr="001E4D9C" w:rsidTr="001E4D9C">
        <w:trPr>
          <w:tblCellSpacing w:w="15" w:type="dxa"/>
          <w:jc w:val="center"/>
        </w:trPr>
        <w:tc>
          <w:tcPr>
            <w:tcW w:w="0" w:type="auto"/>
            <w:vAlign w:val="center"/>
            <w:hideMark/>
          </w:tcPr>
          <w:p w:rsidR="001E4D9C" w:rsidRPr="001E4D9C" w:rsidRDefault="001E4D9C" w:rsidP="001E4D9C">
            <w:r w:rsidRPr="001E4D9C">
              <w:t>Liczba receptorów smakowych w każdym kubku</w:t>
            </w:r>
          </w:p>
        </w:tc>
        <w:tc>
          <w:tcPr>
            <w:tcW w:w="0" w:type="auto"/>
            <w:vAlign w:val="center"/>
            <w:hideMark/>
          </w:tcPr>
          <w:p w:rsidR="001E4D9C" w:rsidRPr="001E4D9C" w:rsidRDefault="001E4D9C" w:rsidP="001E4D9C">
            <w:r w:rsidRPr="001E4D9C">
              <w:t>50-150</w:t>
            </w:r>
          </w:p>
        </w:tc>
      </w:tr>
      <w:tr w:rsidR="001E4D9C" w:rsidRPr="001E4D9C" w:rsidTr="001E4D9C">
        <w:trPr>
          <w:tblCellSpacing w:w="15" w:type="dxa"/>
          <w:jc w:val="center"/>
        </w:trPr>
        <w:tc>
          <w:tcPr>
            <w:tcW w:w="0" w:type="auto"/>
            <w:vAlign w:val="center"/>
            <w:hideMark/>
          </w:tcPr>
          <w:p w:rsidR="001E4D9C" w:rsidRPr="001E4D9C" w:rsidRDefault="001E4D9C" w:rsidP="001E4D9C">
            <w:r w:rsidRPr="001E4D9C">
              <w:t>Próg wrażliwości na smak słony (</w:t>
            </w:r>
            <w:proofErr w:type="spellStart"/>
            <w:r w:rsidRPr="001E4D9C">
              <w:t>NaCl</w:t>
            </w:r>
            <w:proofErr w:type="spellEnd"/>
            <w:r w:rsidRPr="001E4D9C">
              <w:t>)</w:t>
            </w:r>
          </w:p>
        </w:tc>
        <w:tc>
          <w:tcPr>
            <w:tcW w:w="0" w:type="auto"/>
            <w:vAlign w:val="center"/>
            <w:hideMark/>
          </w:tcPr>
          <w:p w:rsidR="001E4D9C" w:rsidRPr="001E4D9C" w:rsidRDefault="001E4D9C" w:rsidP="001E4D9C">
            <w:r w:rsidRPr="001E4D9C">
              <w:t>0,5 g/dm³</w:t>
            </w:r>
          </w:p>
        </w:tc>
      </w:tr>
      <w:tr w:rsidR="001E4D9C" w:rsidRPr="001E4D9C" w:rsidTr="001E4D9C">
        <w:trPr>
          <w:tblCellSpacing w:w="15" w:type="dxa"/>
          <w:jc w:val="center"/>
        </w:trPr>
        <w:tc>
          <w:tcPr>
            <w:tcW w:w="0" w:type="auto"/>
            <w:vAlign w:val="center"/>
            <w:hideMark/>
          </w:tcPr>
          <w:p w:rsidR="001E4D9C" w:rsidRPr="001E4D9C" w:rsidRDefault="001E4D9C" w:rsidP="001E4D9C">
            <w:r w:rsidRPr="001E4D9C">
              <w:t>Czas reakcji na smak słony</w:t>
            </w:r>
          </w:p>
        </w:tc>
        <w:tc>
          <w:tcPr>
            <w:tcW w:w="0" w:type="auto"/>
            <w:vAlign w:val="center"/>
            <w:hideMark/>
          </w:tcPr>
          <w:p w:rsidR="001E4D9C" w:rsidRPr="001E4D9C" w:rsidRDefault="001E4D9C" w:rsidP="001E4D9C">
            <w:r w:rsidRPr="001E4D9C">
              <w:t>~0,3 s</w:t>
            </w:r>
          </w:p>
        </w:tc>
      </w:tr>
      <w:tr w:rsidR="001E4D9C" w:rsidRPr="001E4D9C" w:rsidTr="001E4D9C">
        <w:trPr>
          <w:tblCellSpacing w:w="15" w:type="dxa"/>
          <w:jc w:val="center"/>
        </w:trPr>
        <w:tc>
          <w:tcPr>
            <w:tcW w:w="0" w:type="auto"/>
            <w:vAlign w:val="center"/>
            <w:hideMark/>
          </w:tcPr>
          <w:p w:rsidR="001E4D9C" w:rsidRPr="001E4D9C" w:rsidRDefault="001E4D9C" w:rsidP="001E4D9C">
            <w:r w:rsidRPr="001E4D9C">
              <w:t>Próg wrażliwości na smak słodki (sacharoza)</w:t>
            </w:r>
          </w:p>
        </w:tc>
        <w:tc>
          <w:tcPr>
            <w:tcW w:w="0" w:type="auto"/>
            <w:vAlign w:val="center"/>
            <w:hideMark/>
          </w:tcPr>
          <w:p w:rsidR="001E4D9C" w:rsidRPr="001E4D9C" w:rsidRDefault="001E4D9C" w:rsidP="001E4D9C">
            <w:r w:rsidRPr="001E4D9C">
              <w:t>4 g/dm³</w:t>
            </w:r>
          </w:p>
        </w:tc>
      </w:tr>
      <w:tr w:rsidR="001E4D9C" w:rsidRPr="001E4D9C" w:rsidTr="001E4D9C">
        <w:trPr>
          <w:tblCellSpacing w:w="15" w:type="dxa"/>
          <w:jc w:val="center"/>
        </w:trPr>
        <w:tc>
          <w:tcPr>
            <w:tcW w:w="0" w:type="auto"/>
            <w:vAlign w:val="center"/>
            <w:hideMark/>
          </w:tcPr>
          <w:p w:rsidR="001E4D9C" w:rsidRPr="001E4D9C" w:rsidRDefault="001E4D9C" w:rsidP="001E4D9C">
            <w:r w:rsidRPr="001E4D9C">
              <w:t>Próg wrażliwości na smak kwaśny (</w:t>
            </w:r>
            <w:proofErr w:type="spellStart"/>
            <w:r w:rsidRPr="001E4D9C">
              <w:t>HCl</w:t>
            </w:r>
            <w:proofErr w:type="spellEnd"/>
            <w:r w:rsidRPr="001E4D9C">
              <w:t>)</w:t>
            </w:r>
          </w:p>
        </w:tc>
        <w:tc>
          <w:tcPr>
            <w:tcW w:w="0" w:type="auto"/>
            <w:vAlign w:val="center"/>
            <w:hideMark/>
          </w:tcPr>
          <w:p w:rsidR="001E4D9C" w:rsidRPr="001E4D9C" w:rsidRDefault="001E4D9C" w:rsidP="001E4D9C">
            <w:r w:rsidRPr="001E4D9C">
              <w:t>0,02 g/dm³</w:t>
            </w:r>
          </w:p>
        </w:tc>
      </w:tr>
      <w:tr w:rsidR="001E4D9C" w:rsidRPr="001E4D9C" w:rsidTr="001E4D9C">
        <w:trPr>
          <w:tblCellSpacing w:w="15" w:type="dxa"/>
          <w:jc w:val="center"/>
        </w:trPr>
        <w:tc>
          <w:tcPr>
            <w:tcW w:w="0" w:type="auto"/>
            <w:vAlign w:val="center"/>
            <w:hideMark/>
          </w:tcPr>
          <w:p w:rsidR="001E4D9C" w:rsidRPr="001E4D9C" w:rsidRDefault="001E4D9C" w:rsidP="001E4D9C">
            <w:r w:rsidRPr="001E4D9C">
              <w:t>Próg wrażliwości na smak gorzki (chinina)</w:t>
            </w:r>
          </w:p>
        </w:tc>
        <w:tc>
          <w:tcPr>
            <w:tcW w:w="0" w:type="auto"/>
            <w:vAlign w:val="center"/>
            <w:hideMark/>
          </w:tcPr>
          <w:p w:rsidR="001E4D9C" w:rsidRPr="001E4D9C" w:rsidRDefault="001E4D9C" w:rsidP="001E4D9C">
            <w:r w:rsidRPr="001E4D9C">
              <w:t>0,0003 g/dm³</w:t>
            </w:r>
          </w:p>
        </w:tc>
      </w:tr>
      <w:tr w:rsidR="001E4D9C" w:rsidRPr="001E4D9C" w:rsidTr="001E4D9C">
        <w:trPr>
          <w:tblCellSpacing w:w="15" w:type="dxa"/>
          <w:jc w:val="center"/>
        </w:trPr>
        <w:tc>
          <w:tcPr>
            <w:tcW w:w="0" w:type="auto"/>
            <w:vAlign w:val="center"/>
            <w:hideMark/>
          </w:tcPr>
          <w:p w:rsidR="001E4D9C" w:rsidRPr="001E4D9C" w:rsidRDefault="001E4D9C" w:rsidP="001E4D9C">
            <w:r w:rsidRPr="001E4D9C">
              <w:t>Czas reakcji na smak gorzki</w:t>
            </w:r>
          </w:p>
        </w:tc>
        <w:tc>
          <w:tcPr>
            <w:tcW w:w="0" w:type="auto"/>
            <w:vAlign w:val="center"/>
            <w:hideMark/>
          </w:tcPr>
          <w:p w:rsidR="001E4D9C" w:rsidRPr="001E4D9C" w:rsidRDefault="001E4D9C" w:rsidP="001E4D9C">
            <w:r w:rsidRPr="001E4D9C">
              <w:t>~1 s</w:t>
            </w:r>
          </w:p>
        </w:tc>
      </w:tr>
    </w:tbl>
    <w:p w:rsidR="004D4571" w:rsidRDefault="009E3604"/>
    <w:p w:rsidR="00D961DF" w:rsidRDefault="00D961DF">
      <w:bookmarkStart w:id="0" w:name="_GoBack"/>
      <w:bookmarkEnd w:id="0"/>
    </w:p>
    <w:sectPr w:rsidR="00D961DF" w:rsidSect="001E4D9C">
      <w:headerReference w:type="even" r:id="rId11"/>
      <w:headerReference w:type="default" r:id="rId12"/>
      <w:footerReference w:type="even" r:id="rId13"/>
      <w:footerReference w:type="default" r:id="rId14"/>
      <w:headerReference w:type="first" r:id="rId15"/>
      <w:footerReference w:type="first" r:id="rId16"/>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604" w:rsidRDefault="009E3604" w:rsidP="00D54657">
      <w:r>
        <w:separator/>
      </w:r>
    </w:p>
  </w:endnote>
  <w:endnote w:type="continuationSeparator" w:id="0">
    <w:p w:rsidR="009E3604" w:rsidRDefault="009E3604" w:rsidP="00D54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657" w:rsidRDefault="00D5465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657" w:rsidRDefault="00D54657">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657" w:rsidRDefault="00D5465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604" w:rsidRDefault="009E3604" w:rsidP="00D54657">
      <w:r>
        <w:separator/>
      </w:r>
    </w:p>
  </w:footnote>
  <w:footnote w:type="continuationSeparator" w:id="0">
    <w:p w:rsidR="009E3604" w:rsidRDefault="009E3604" w:rsidP="00D546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657" w:rsidRDefault="00D5465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657" w:rsidRDefault="00D54657">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657" w:rsidRDefault="00D5465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A0845"/>
    <w:multiLevelType w:val="multilevel"/>
    <w:tmpl w:val="D7380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D9C"/>
    <w:rsid w:val="001E4D9C"/>
    <w:rsid w:val="00444103"/>
    <w:rsid w:val="00536816"/>
    <w:rsid w:val="00543FEC"/>
    <w:rsid w:val="005C37CA"/>
    <w:rsid w:val="009E3604"/>
    <w:rsid w:val="00D54657"/>
    <w:rsid w:val="00D961DF"/>
    <w:rsid w:val="00FD40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1E4D9C"/>
    <w:rPr>
      <w:color w:val="0000FF" w:themeColor="hyperlink"/>
      <w:u w:val="single"/>
    </w:rPr>
  </w:style>
  <w:style w:type="paragraph" w:styleId="Tekstdymka">
    <w:name w:val="Balloon Text"/>
    <w:basedOn w:val="Normalny"/>
    <w:link w:val="TekstdymkaZnak"/>
    <w:uiPriority w:val="99"/>
    <w:semiHidden/>
    <w:unhideWhenUsed/>
    <w:rsid w:val="001E4D9C"/>
    <w:rPr>
      <w:rFonts w:ascii="Tahoma" w:hAnsi="Tahoma" w:cs="Tahoma"/>
      <w:sz w:val="16"/>
      <w:szCs w:val="16"/>
    </w:rPr>
  </w:style>
  <w:style w:type="character" w:customStyle="1" w:styleId="TekstdymkaZnak">
    <w:name w:val="Tekst dymka Znak"/>
    <w:basedOn w:val="Domylnaczcionkaakapitu"/>
    <w:link w:val="Tekstdymka"/>
    <w:uiPriority w:val="99"/>
    <w:semiHidden/>
    <w:rsid w:val="001E4D9C"/>
    <w:rPr>
      <w:rFonts w:ascii="Tahoma" w:hAnsi="Tahoma" w:cs="Tahoma"/>
      <w:sz w:val="16"/>
      <w:szCs w:val="16"/>
    </w:rPr>
  </w:style>
  <w:style w:type="paragraph" w:styleId="Nagwek">
    <w:name w:val="header"/>
    <w:basedOn w:val="Normalny"/>
    <w:link w:val="NagwekZnak"/>
    <w:uiPriority w:val="99"/>
    <w:unhideWhenUsed/>
    <w:rsid w:val="00D54657"/>
    <w:pPr>
      <w:tabs>
        <w:tab w:val="center" w:pos="4536"/>
        <w:tab w:val="right" w:pos="9072"/>
      </w:tabs>
    </w:pPr>
  </w:style>
  <w:style w:type="character" w:customStyle="1" w:styleId="NagwekZnak">
    <w:name w:val="Nagłówek Znak"/>
    <w:basedOn w:val="Domylnaczcionkaakapitu"/>
    <w:link w:val="Nagwek"/>
    <w:uiPriority w:val="99"/>
    <w:rsid w:val="00D54657"/>
  </w:style>
  <w:style w:type="paragraph" w:styleId="Stopka">
    <w:name w:val="footer"/>
    <w:basedOn w:val="Normalny"/>
    <w:link w:val="StopkaZnak"/>
    <w:uiPriority w:val="99"/>
    <w:unhideWhenUsed/>
    <w:rsid w:val="00D54657"/>
    <w:pPr>
      <w:tabs>
        <w:tab w:val="center" w:pos="4536"/>
        <w:tab w:val="right" w:pos="9072"/>
      </w:tabs>
    </w:pPr>
  </w:style>
  <w:style w:type="character" w:customStyle="1" w:styleId="StopkaZnak">
    <w:name w:val="Stopka Znak"/>
    <w:basedOn w:val="Domylnaczcionkaakapitu"/>
    <w:link w:val="Stopka"/>
    <w:uiPriority w:val="99"/>
    <w:rsid w:val="00D546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1E4D9C"/>
    <w:rPr>
      <w:color w:val="0000FF" w:themeColor="hyperlink"/>
      <w:u w:val="single"/>
    </w:rPr>
  </w:style>
  <w:style w:type="paragraph" w:styleId="Tekstdymka">
    <w:name w:val="Balloon Text"/>
    <w:basedOn w:val="Normalny"/>
    <w:link w:val="TekstdymkaZnak"/>
    <w:uiPriority w:val="99"/>
    <w:semiHidden/>
    <w:unhideWhenUsed/>
    <w:rsid w:val="001E4D9C"/>
    <w:rPr>
      <w:rFonts w:ascii="Tahoma" w:hAnsi="Tahoma" w:cs="Tahoma"/>
      <w:sz w:val="16"/>
      <w:szCs w:val="16"/>
    </w:rPr>
  </w:style>
  <w:style w:type="character" w:customStyle="1" w:styleId="TekstdymkaZnak">
    <w:name w:val="Tekst dymka Znak"/>
    <w:basedOn w:val="Domylnaczcionkaakapitu"/>
    <w:link w:val="Tekstdymka"/>
    <w:uiPriority w:val="99"/>
    <w:semiHidden/>
    <w:rsid w:val="001E4D9C"/>
    <w:rPr>
      <w:rFonts w:ascii="Tahoma" w:hAnsi="Tahoma" w:cs="Tahoma"/>
      <w:sz w:val="16"/>
      <w:szCs w:val="16"/>
    </w:rPr>
  </w:style>
  <w:style w:type="paragraph" w:styleId="Nagwek">
    <w:name w:val="header"/>
    <w:basedOn w:val="Normalny"/>
    <w:link w:val="NagwekZnak"/>
    <w:uiPriority w:val="99"/>
    <w:unhideWhenUsed/>
    <w:rsid w:val="00D54657"/>
    <w:pPr>
      <w:tabs>
        <w:tab w:val="center" w:pos="4536"/>
        <w:tab w:val="right" w:pos="9072"/>
      </w:tabs>
    </w:pPr>
  </w:style>
  <w:style w:type="character" w:customStyle="1" w:styleId="NagwekZnak">
    <w:name w:val="Nagłówek Znak"/>
    <w:basedOn w:val="Domylnaczcionkaakapitu"/>
    <w:link w:val="Nagwek"/>
    <w:uiPriority w:val="99"/>
    <w:rsid w:val="00D54657"/>
  </w:style>
  <w:style w:type="paragraph" w:styleId="Stopka">
    <w:name w:val="footer"/>
    <w:basedOn w:val="Normalny"/>
    <w:link w:val="StopkaZnak"/>
    <w:uiPriority w:val="99"/>
    <w:unhideWhenUsed/>
    <w:rsid w:val="00D54657"/>
    <w:pPr>
      <w:tabs>
        <w:tab w:val="center" w:pos="4536"/>
        <w:tab w:val="right" w:pos="9072"/>
      </w:tabs>
    </w:pPr>
  </w:style>
  <w:style w:type="character" w:customStyle="1" w:styleId="StopkaZnak">
    <w:name w:val="Stopka Znak"/>
    <w:basedOn w:val="Domylnaczcionkaakapitu"/>
    <w:link w:val="Stopka"/>
    <w:uiPriority w:val="99"/>
    <w:rsid w:val="00D546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61785">
      <w:bodyDiv w:val="1"/>
      <w:marLeft w:val="0"/>
      <w:marRight w:val="0"/>
      <w:marTop w:val="0"/>
      <w:marBottom w:val="0"/>
      <w:divBdr>
        <w:top w:val="none" w:sz="0" w:space="0" w:color="auto"/>
        <w:left w:val="none" w:sz="0" w:space="0" w:color="auto"/>
        <w:bottom w:val="none" w:sz="0" w:space="0" w:color="auto"/>
        <w:right w:val="none" w:sz="0" w:space="0" w:color="auto"/>
      </w:divBdr>
      <w:divsChild>
        <w:div w:id="179319618">
          <w:marLeft w:val="0"/>
          <w:marRight w:val="0"/>
          <w:marTop w:val="0"/>
          <w:marBottom w:val="0"/>
          <w:divBdr>
            <w:top w:val="none" w:sz="0" w:space="0" w:color="auto"/>
            <w:left w:val="none" w:sz="0" w:space="0" w:color="auto"/>
            <w:bottom w:val="none" w:sz="0" w:space="0" w:color="auto"/>
            <w:right w:val="none" w:sz="0" w:space="0" w:color="auto"/>
          </w:divBdr>
          <w:divsChild>
            <w:div w:id="753091305">
              <w:marLeft w:val="0"/>
              <w:marRight w:val="0"/>
              <w:marTop w:val="0"/>
              <w:marBottom w:val="0"/>
              <w:divBdr>
                <w:top w:val="none" w:sz="0" w:space="0" w:color="auto"/>
                <w:left w:val="none" w:sz="0" w:space="0" w:color="auto"/>
                <w:bottom w:val="none" w:sz="0" w:space="0" w:color="auto"/>
                <w:right w:val="none" w:sz="0" w:space="0" w:color="auto"/>
              </w:divBdr>
              <w:divsChild>
                <w:div w:id="1679649668">
                  <w:marLeft w:val="0"/>
                  <w:marRight w:val="0"/>
                  <w:marTop w:val="0"/>
                  <w:marBottom w:val="0"/>
                  <w:divBdr>
                    <w:top w:val="none" w:sz="0" w:space="0" w:color="auto"/>
                    <w:left w:val="none" w:sz="0" w:space="0" w:color="auto"/>
                    <w:bottom w:val="none" w:sz="0" w:space="0" w:color="auto"/>
                    <w:right w:val="none" w:sz="0" w:space="0" w:color="auto"/>
                  </w:divBdr>
                </w:div>
                <w:div w:id="1205948019">
                  <w:marLeft w:val="0"/>
                  <w:marRight w:val="0"/>
                  <w:marTop w:val="0"/>
                  <w:marBottom w:val="0"/>
                  <w:divBdr>
                    <w:top w:val="none" w:sz="0" w:space="0" w:color="auto"/>
                    <w:left w:val="none" w:sz="0" w:space="0" w:color="auto"/>
                    <w:bottom w:val="none" w:sz="0" w:space="0" w:color="auto"/>
                    <w:right w:val="none" w:sz="0" w:space="0" w:color="auto"/>
                  </w:divBdr>
                </w:div>
                <w:div w:id="930310962">
                  <w:marLeft w:val="0"/>
                  <w:marRight w:val="0"/>
                  <w:marTop w:val="0"/>
                  <w:marBottom w:val="240"/>
                  <w:divBdr>
                    <w:top w:val="none" w:sz="0" w:space="0" w:color="auto"/>
                    <w:left w:val="none" w:sz="0" w:space="0" w:color="auto"/>
                    <w:bottom w:val="single" w:sz="6" w:space="0" w:color="CCCCCC"/>
                    <w:right w:val="none" w:sz="0" w:space="0" w:color="auto"/>
                  </w:divBdr>
                </w:div>
                <w:div w:id="224295733">
                  <w:marLeft w:val="0"/>
                  <w:marRight w:val="0"/>
                  <w:marTop w:val="0"/>
                  <w:marBottom w:val="0"/>
                  <w:divBdr>
                    <w:top w:val="none" w:sz="0" w:space="0" w:color="auto"/>
                    <w:left w:val="none" w:sz="0" w:space="0" w:color="auto"/>
                    <w:bottom w:val="none" w:sz="0" w:space="0" w:color="auto"/>
                    <w:right w:val="none" w:sz="0" w:space="0" w:color="auto"/>
                  </w:divBdr>
                  <w:divsChild>
                    <w:div w:id="1772579397">
                      <w:marLeft w:val="0"/>
                      <w:marRight w:val="0"/>
                      <w:marTop w:val="0"/>
                      <w:marBottom w:val="0"/>
                      <w:divBdr>
                        <w:top w:val="none" w:sz="0" w:space="0" w:color="auto"/>
                        <w:left w:val="none" w:sz="0" w:space="0" w:color="auto"/>
                        <w:bottom w:val="none" w:sz="0" w:space="0" w:color="auto"/>
                        <w:right w:val="none" w:sz="0" w:space="0" w:color="auto"/>
                      </w:divBdr>
                      <w:divsChild>
                        <w:div w:id="396980692">
                          <w:marLeft w:val="0"/>
                          <w:marRight w:val="0"/>
                          <w:marTop w:val="0"/>
                          <w:marBottom w:val="0"/>
                          <w:divBdr>
                            <w:top w:val="none" w:sz="0" w:space="0" w:color="auto"/>
                            <w:left w:val="none" w:sz="0" w:space="0" w:color="auto"/>
                            <w:bottom w:val="none" w:sz="0" w:space="0" w:color="auto"/>
                            <w:right w:val="none" w:sz="0" w:space="0" w:color="auto"/>
                          </w:divBdr>
                          <w:divsChild>
                            <w:div w:id="9427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pl.wikipedia.org/w/index.php?title=Plik:Taste_buds.svg&amp;filetimestamp=20061005173013"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1CCDC-321F-4227-A9D7-16DB08034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337</Words>
  <Characters>2026</Characters>
  <Application>Microsoft Office Word</Application>
  <DocSecurity>0</DocSecurity>
  <Lines>16</Lines>
  <Paragraphs>4</Paragraphs>
  <ScaleCrop>false</ScaleCrop>
  <Company>PP Comp</Company>
  <LinksUpToDate>false</LinksUpToDate>
  <CharactersWithSpaces>2359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Przemysław Pedrycz</dc:creator>
  <cp:lastModifiedBy>Przemysław Pedrycz</cp:lastModifiedBy>
  <cp:revision>3</cp:revision>
  <dcterms:created xsi:type="dcterms:W3CDTF">2011-09-24T20:39:00Z</dcterms:created>
  <dcterms:modified xsi:type="dcterms:W3CDTF">2013-02-10T18:42:00Z</dcterms:modified>
</cp:coreProperties>
</file>